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8"/>
                <w:w w:val="100"/>
                <w:szCs w:val="28"/>
                <w:lang w:val="en-US" w:eastAsia="zh-CN"/>
              </w:rPr>
              <w:t>河南佳能油气有限公司内黄第二油气站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91410505MA47LAR633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有限责任公司分公司(非自然人投资或控股的法人独资)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8"/>
                <w:w w:val="100"/>
                <w:szCs w:val="28"/>
                <w:lang w:val="en-US" w:eastAsia="zh-CN"/>
              </w:rPr>
              <w:t>内黄县繁阳一路与硝河大道交叉口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" name="图片 1" descr="d00cff41fa202bf531c374fa025c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0cff41fa202bf531c374fa025c8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adce692f81b226d809741cff14fc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ce692f81b226d809741cff14fc3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1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2023-08-24T02:35:51Z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