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河南佳能油气有限公司内黄第十加油站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91410527MA45X4JW20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其他有限责任公司分公司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孟象丽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河南省安阳市内黄县中召乡南街村内中路东侧、101省道中召段北侧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7" name="图片 7" descr="83d9c0dbe3fdf2a72eddb5cab6bf1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3d9c0dbe3fdf2a72eddb5cab6bf11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9" name="图片 9" descr="60f9fed213846a741d52009848c80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0f9fed213846a741d52009848c80e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6E221CC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A03FD5"/>
    <w:rsid w:val="55E76A1E"/>
    <w:rsid w:val="59EB2A59"/>
    <w:rsid w:val="59F441E9"/>
    <w:rsid w:val="5BB05B4B"/>
    <w:rsid w:val="5BB97B95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255</Characters>
  <TotalTime>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2023-08-24T03:36:10Z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2ECCFA5742A6432B891ED113DAD821BD_13</vt:lpwstr>
  </property>
</Properties>
</file>